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:rsidR="008C784F" w:rsidRPr="008C784F" w:rsidRDefault="00685275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z dnia 30</w:t>
      </w:r>
      <w:r w:rsidR="0094183D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5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.202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 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 planie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zagos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rzestrzennego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dzierżawy za rok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Derkacze</w:t>
            </w:r>
          </w:p>
          <w:p w:rsidR="008C784F" w:rsidRPr="008C784F" w:rsidRDefault="004316A8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GW1K/00022657/8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685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Obszary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5275">
              <w:rPr>
                <w:rFonts w:ascii="Times New Roman" w:eastAsia="Times New Roman" w:hAnsi="Times New Roman" w:cs="Times New Roman"/>
                <w:sz w:val="16"/>
                <w:szCs w:val="16"/>
              </w:rPr>
              <w:t>usług turystyki  projektowane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>pod uprawy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niezabudowana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D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150,00zł/ha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25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>września każdego roku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316A8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8" w:rsidRPr="008C784F" w:rsidRDefault="004316A8" w:rsidP="00DA4AC4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Derkacze</w:t>
            </w:r>
          </w:p>
          <w:p w:rsidR="004316A8" w:rsidRPr="008C784F" w:rsidRDefault="004316A8" w:rsidP="00DA4AC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GW1K/00022657/8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685275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Obszary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usług turystyki  projektowane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 uprawy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niezabudowana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150,00zł/ha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8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16A8" w:rsidRPr="008C784F" w:rsidRDefault="004316A8" w:rsidP="00DA4A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25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września każdego roku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Podany czynsz dzierżawy powiększony o podatek VAT obowiązuje w okresie dzierżawy na warunkach zawartych umów.</w:t>
      </w:r>
    </w:p>
    <w:p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7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:rsidR="001B648C" w:rsidRPr="008C784F" w:rsidRDefault="001B648C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Zdjęto z tablicy ogłoszeń:      ………………202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1C06AD" w:rsidRPr="008C784F" w:rsidRDefault="008C784F" w:rsidP="00685275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906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8C784F" w:rsidRPr="008C784F" w:rsidRDefault="008C784F" w:rsidP="002157C7">
      <w:pPr>
        <w:spacing w:after="0" w:line="480" w:lineRule="auto"/>
        <w:ind w:left="991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92897" w:rsidRDefault="00892897" w:rsidP="00892897">
      <w:pPr>
        <w:spacing w:line="240" w:lineRule="auto"/>
        <w:ind w:left="9912"/>
      </w:pPr>
      <w:r>
        <w:t xml:space="preserve">     BURMISTRZ</w:t>
      </w:r>
      <w:bookmarkStart w:id="0" w:name="_GoBack"/>
      <w:bookmarkEnd w:id="0"/>
    </w:p>
    <w:p w:rsidR="00892897" w:rsidRDefault="00892897" w:rsidP="00892897">
      <w:pPr>
        <w:spacing w:line="240" w:lineRule="auto"/>
        <w:ind w:left="9912"/>
      </w:pPr>
      <w:r>
        <w:t xml:space="preserve">Sylwia </w:t>
      </w:r>
      <w:proofErr w:type="spellStart"/>
      <w:r>
        <w:t>Łaźniewska</w:t>
      </w:r>
      <w:proofErr w:type="spellEnd"/>
    </w:p>
    <w:sectPr w:rsidR="00892897" w:rsidSect="008C7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F"/>
    <w:rsid w:val="001377F6"/>
    <w:rsid w:val="001B648C"/>
    <w:rsid w:val="001C06AD"/>
    <w:rsid w:val="002157C7"/>
    <w:rsid w:val="004316A8"/>
    <w:rsid w:val="00490692"/>
    <w:rsid w:val="005637BB"/>
    <w:rsid w:val="00575EFD"/>
    <w:rsid w:val="00664DA7"/>
    <w:rsid w:val="00685275"/>
    <w:rsid w:val="00774B20"/>
    <w:rsid w:val="00865D01"/>
    <w:rsid w:val="00892897"/>
    <w:rsid w:val="008C784F"/>
    <w:rsid w:val="0094183D"/>
    <w:rsid w:val="00A0257E"/>
    <w:rsid w:val="00AA1CCA"/>
    <w:rsid w:val="00B64D10"/>
    <w:rsid w:val="00B77C1D"/>
    <w:rsid w:val="00D815A0"/>
    <w:rsid w:val="00E27E04"/>
    <w:rsid w:val="00EE1A99"/>
    <w:rsid w:val="00F40DDC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b.szewczynska</cp:lastModifiedBy>
  <cp:revision>24</cp:revision>
  <cp:lastPrinted>2023-05-29T09:56:00Z</cp:lastPrinted>
  <dcterms:created xsi:type="dcterms:W3CDTF">2022-08-25T12:21:00Z</dcterms:created>
  <dcterms:modified xsi:type="dcterms:W3CDTF">2023-05-30T13:28:00Z</dcterms:modified>
</cp:coreProperties>
</file>